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B4" w:rsidRDefault="00C251B4" w:rsidP="00C251B4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C251B4" w:rsidRDefault="00EA3BC4" w:rsidP="00C251B4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264"/>
        <w:gridCol w:w="5856"/>
      </w:tblGrid>
      <w:tr w:rsidR="00C251B4" w:rsidTr="00C013F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1B4" w:rsidRDefault="00C251B4" w:rsidP="00EA3BC4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16.1-7WF-B/C2</w:t>
            </w:r>
            <w:r w:rsidR="00EA3BC4">
              <w:rPr>
                <w:rFonts w:ascii="Arial" w:hAnsi="Arial" w:cs="Arial"/>
                <w:i/>
                <w:color w:val="auto"/>
                <w:sz w:val="20"/>
                <w:szCs w:val="20"/>
              </w:rPr>
              <w:t>8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TiMK</w:t>
            </w:r>
          </w:p>
        </w:tc>
      </w:tr>
      <w:tr w:rsidR="00C251B4" w:rsidTr="00C013FD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Teoria i metodyka koszykówki</w:t>
            </w:r>
          </w:p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  <w:t>Theory and methodology of basketball</w:t>
            </w:r>
          </w:p>
        </w:tc>
      </w:tr>
      <w:tr w:rsidR="00C251B4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C251B4" w:rsidRDefault="00C251B4" w:rsidP="00C251B4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AD7EED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</w:t>
            </w:r>
            <w:r w:rsid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auczycielska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Robert Dutkiewicz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Robert Dutkiewicz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EA3BC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6" w:history="1">
              <w:r w:rsidR="00C251B4"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8"/>
                </w:rPr>
                <w:t>robert.dutkiewicz@edu.pl</w:t>
              </w:r>
            </w:hyperlink>
            <w:r w:rsid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691 677 696</w:t>
            </w:r>
          </w:p>
        </w:tc>
      </w:tr>
    </w:tbl>
    <w:p w:rsidR="00C251B4" w:rsidRDefault="00C251B4" w:rsidP="00C251B4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C251B4" w:rsidTr="00C251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C251B4" w:rsidTr="00C251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C251B4" w:rsidTr="00C251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C251B4" w:rsidTr="00C251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II, III</w:t>
            </w:r>
          </w:p>
        </w:tc>
      </w:tr>
      <w:tr w:rsidR="00C251B4" w:rsidTr="00C251B4">
        <w:trPr>
          <w:trHeight w:val="1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Podstawy metodyki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sprawność ogólna</w:t>
            </w:r>
          </w:p>
        </w:tc>
      </w:tr>
    </w:tbl>
    <w:p w:rsidR="00C251B4" w:rsidRDefault="00C251B4" w:rsidP="00C251B4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C251B4" w:rsidTr="00C251B4">
        <w:trPr>
          <w:trHeight w:val="171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382"/>
              <w:gridCol w:w="1568"/>
            </w:tblGrid>
            <w:tr w:rsidR="00C251B4" w:rsidTr="00C013FD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51B4" w:rsidRDefault="00C251B4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51B4" w:rsidRDefault="00C251B4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51B4" w:rsidRDefault="00C251B4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251B4" w:rsidRDefault="00C251B4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251B4" w:rsidRDefault="00C251B4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C251B4" w:rsidRPr="00C251B4" w:rsidTr="00C013FD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51B4" w:rsidRDefault="00C251B4" w:rsidP="00C013FD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51B4" w:rsidRDefault="00C251B4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51B4" w:rsidRDefault="00C251B4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1B4" w:rsidRDefault="000F7FA0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5</w:t>
                  </w:r>
                  <w:r w:rsidR="00C251B4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C251B4" w:rsidRDefault="000F7FA0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5</w:t>
                  </w:r>
                  <w:r w:rsidR="00C251B4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0h – </w:t>
                  </w:r>
                  <w:proofErr w:type="spellStart"/>
                  <w:r w:rsidR="00C251B4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C251B4" w:rsidRDefault="00C251B4" w:rsidP="00C013FD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1B4" w:rsidRDefault="000F7FA0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</w:t>
                  </w:r>
                  <w:r w:rsidR="00C251B4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C251B4" w:rsidRDefault="000F7FA0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7</w:t>
                  </w:r>
                  <w:r w:rsidR="00C251B4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0h - </w:t>
                  </w:r>
                  <w:proofErr w:type="spellStart"/>
                  <w:r w:rsidR="00C251B4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C251B4" w:rsidRPr="00C251B4" w:rsidRDefault="00C251B4" w:rsidP="00C251B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51B4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Zajęcia praktyczne</w:t>
            </w:r>
          </w:p>
        </w:tc>
      </w:tr>
      <w:tr w:rsidR="00C251B4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C251B4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Instruktaż, pokaz z objaśnieniem, dyskusja</w:t>
            </w:r>
          </w:p>
        </w:tc>
      </w:tr>
      <w:tr w:rsidR="00C251B4" w:rsidTr="00C013FD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2"/>
                <w:numId w:val="1"/>
              </w:numPr>
              <w:tabs>
                <w:tab w:val="clear" w:pos="85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Huciński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T.,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Lekner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I., Czerlonko M., Tymański R.,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Gra w koszykówkę i jej walory w kształtowaniu osobowości dziecka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Gdańsk, Gdańsk 2006</w:t>
            </w:r>
          </w:p>
          <w:p w:rsidR="00C251B4" w:rsidRDefault="00C251B4" w:rsidP="00C251B4">
            <w:pPr>
              <w:numPr>
                <w:ilvl w:val="2"/>
                <w:numId w:val="1"/>
              </w:numPr>
              <w:tabs>
                <w:tab w:val="clear" w:pos="85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Ljach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W.,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Koszykówka. Podręcznik dla studentów Akademii Wychowania Fizycznego (część II), AWF Kraków,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Kraków 2007</w:t>
            </w:r>
          </w:p>
          <w:p w:rsidR="00C251B4" w:rsidRDefault="00C251B4" w:rsidP="00C251B4">
            <w:pPr>
              <w:numPr>
                <w:ilvl w:val="2"/>
                <w:numId w:val="1"/>
              </w:numPr>
              <w:tabs>
                <w:tab w:val="clear" w:pos="85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Oficjalne przepisy gry w koszykówkę, Polski Związek Koszykówki, 2010</w:t>
            </w:r>
          </w:p>
        </w:tc>
      </w:tr>
      <w:tr w:rsidR="00C251B4" w:rsidTr="00C013FD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Auerbach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A., Koszykówka dla  zawodnika, trenera i kibica, Sport i Turystyka, Warszawa 1967</w:t>
            </w:r>
          </w:p>
          <w:p w:rsidR="00C251B4" w:rsidRDefault="00C251B4" w:rsidP="00C251B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Janas R., Poznański R., Technika koszykówki,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WWZPCz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Częstochowa 2004</w:t>
            </w:r>
          </w:p>
          <w:p w:rsidR="00C251B4" w:rsidRDefault="00C251B4" w:rsidP="00C251B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PZKosz, Warszawa 2000</w:t>
            </w:r>
          </w:p>
          <w:p w:rsidR="00C251B4" w:rsidRDefault="00C251B4" w:rsidP="00C251B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Neumann H., Trening koszykówki, Oficyna Wydawnicza MARSZAL, Wrocław 1999</w:t>
            </w:r>
          </w:p>
        </w:tc>
      </w:tr>
    </w:tbl>
    <w:p w:rsidR="00C251B4" w:rsidRDefault="00C251B4" w:rsidP="00C251B4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251B4" w:rsidTr="00C013FD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1B4" w:rsidRDefault="00C251B4" w:rsidP="00C251B4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C251B4" w:rsidRPr="00C251B4" w:rsidRDefault="00C251B4" w:rsidP="00C013FD">
            <w:pPr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C1 – Zapoznanie studenta z techniką i metodyką nauczania podstawowych elementów gry w mini koszykówkę i koszykówkę oraz z przepisami  gry.</w:t>
            </w:r>
          </w:p>
          <w:p w:rsidR="00C251B4" w:rsidRPr="00C251B4" w:rsidRDefault="00C251B4" w:rsidP="00C013FD">
            <w:pPr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C2 – Wyposażenie studenta w umiejętność stosowania zasad dydaktycznych w nauczaniu podstawowych elementów techniczno-taktycznych gry w koszykówkę, posługiwania się metodami, formami i środkami nauczania, adekwatnymi do etapu edukacyjnego, a także w umiejętność stosowania rożnych form organizacji lekcji.</w:t>
            </w:r>
          </w:p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C3 – Nabycie kompetencji i umiejętności pracy w zespole.</w:t>
            </w:r>
          </w:p>
        </w:tc>
      </w:tr>
      <w:tr w:rsidR="00C251B4" w:rsidTr="00C013F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C251B4" w:rsidRPr="00C251B4" w:rsidRDefault="00C251B4" w:rsidP="00C013FD">
            <w:pPr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Zarys historii koszykówki.</w:t>
            </w:r>
            <w:r w:rsidRPr="00C251B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Przepisy  gry w koszykówkę. Przedstawienie techniki i metodyki nauczania poszczególnych elementów. Zasady gry w mini koszykówkę. Zasady organizacji zawodów koszykówki.</w:t>
            </w:r>
          </w:p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Sposoby poruszania się zawodnika. Indywidualne wyszkolenie zawodnika w ataku;  podania i chwyty piłki, kozłowanie, rzuty w biegu po podaniu, rzuty w biegu po kozłowaniu, rzut z półobrotem w biegu, po kozłowaniu, w miejscu, rzut pozycyjny z miejsca, rzuty w wyskoku, rzuty środkowego, obrót, zwody. Indywidualny atak-gra 1:1. Ofensywny atak na tablicy. Indywidualne wyszkolenie zawodnika w obronie, elementy indywidualnego poruszania się w obronie, nauczanie indywidualnej obrony w zakresie: taktyki gry, zespołowego atakowania - szybki, atak pozycyjny, zespołowej obrony.</w:t>
            </w:r>
          </w:p>
        </w:tc>
      </w:tr>
      <w:tr w:rsidR="00C251B4" w:rsidTr="00C251B4">
        <w:trPr>
          <w:cantSplit/>
          <w:trHeight w:val="2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B4" w:rsidRDefault="00C251B4" w:rsidP="00C251B4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</w:tbl>
    <w:p w:rsidR="00C251B4" w:rsidRPr="00C251B4" w:rsidRDefault="00C251B4" w:rsidP="00C251B4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516"/>
        <w:gridCol w:w="992"/>
        <w:gridCol w:w="1134"/>
        <w:gridCol w:w="1134"/>
      </w:tblGrid>
      <w:tr w:rsidR="00C251B4" w:rsidRPr="00C251B4" w:rsidTr="00C251B4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1B4" w:rsidRPr="00C251B4" w:rsidRDefault="00C251B4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kod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Student, który zaliczył przedmiot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C251B4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Odniesienie do efektów kształcenia</w:t>
            </w: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WIEDZY: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W01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Zna zasady gry w koszykówkę i definiuje pojęcia związane </w:t>
            </w: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z metodyką nauczania techniki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_W22</w:t>
            </w:r>
          </w:p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W02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Objaśnia zasady organizacji zajęć i zawodów sportowych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_W17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251B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UMIEJĘTNOŚCI: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U01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Nabywa umiejętności ruchowe związane z uprawianiem koszykówki jako dyscypliny sportowej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_U02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M1_U02 M1_U11</w:t>
            </w: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U02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Posługuje się terminologią stosowaną w koszykówce i stosuje poznane metody w trakcie prowadzenia zajęć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_U13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M1_U03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KOMPETENCJI SPOŁECZNYCH: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K01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Kształtuje osobowość dziecka poprzez rywalizację sportową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251B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</w:tbl>
    <w:p w:rsidR="00C251B4" w:rsidRPr="00C251B4" w:rsidRDefault="00C251B4" w:rsidP="00C251B4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84"/>
        <w:gridCol w:w="1843"/>
        <w:gridCol w:w="1843"/>
      </w:tblGrid>
      <w:tr w:rsidR="00C251B4" w:rsidTr="00C251B4">
        <w:trPr>
          <w:trHeight w:val="14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C251B4" w:rsidTr="00C251B4">
        <w:trPr>
          <w:trHeight w:val="1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C251B4" w:rsidTr="00C251B4">
        <w:trPr>
          <w:trHeight w:val="7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 podstawowym zakresie: zaliczył kolokwium ustne (w 60 % wymienia podstawowe pojęcia z zakresu </w:t>
            </w:r>
            <w:proofErr w:type="spellStart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minikoszykówki</w:t>
            </w:r>
            <w:proofErr w:type="spellEnd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koszykówki, zna przepisy gry), zaliczył sprawdzian praktyczny (potrafi wykonać podstawowe elementy techniki gry), przedstawił konspekt lekcji.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 podstawowym zakresie: zaliczył kolokwium ustne (w 70 % wymienia podstawowe pojęcia z zakresu </w:t>
            </w:r>
            <w:proofErr w:type="spellStart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minikoszykówki</w:t>
            </w:r>
            <w:proofErr w:type="spellEnd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koszykówki, zna przepisy gry), zaliczył sprawdzian praktyczny (potrafi wykonać podstawowe elementy techniki gry), przedstawił konspekt lekcji.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rozszerzonym zakresie: zaliczył kolokwium ustne (w 80 % wymienia podstawowe pojęcia z zakresu </w:t>
            </w:r>
            <w:proofErr w:type="spellStart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minikoszykówki</w:t>
            </w:r>
            <w:proofErr w:type="spellEnd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koszykówki, zna przepisy gry), zaliczył sprawdzian praktyczny (potrafi wykonać podstawowe elementy techniki gry), przedstawił konspekt lekcji.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rozszerzonym zakresie: zaliczył kolokwium ustne (w 90 % wymienia podstawowe pojęcia z zakresu </w:t>
            </w:r>
            <w:proofErr w:type="spellStart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minikoszykówki</w:t>
            </w:r>
            <w:proofErr w:type="spellEnd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koszykówki, zna przepisy gry), zaliczył sprawdzian praktyczny (potrafi wykonać podstawowe elementy techniki gry), przedstawił konspekt lekcji.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rozszerzonym zakresie: zaliczył kolokwium ustne (w 100 % wymienia podstawowe pojęcia z zakresu </w:t>
            </w:r>
            <w:proofErr w:type="spellStart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minikoszykówki</w:t>
            </w:r>
            <w:proofErr w:type="spellEnd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koszykówki, zna przepisy gry), zaliczył sprawdzian praktyczny (potrafi wykonać podstawowe elementy techniki gry), przedstawił konspekt lekcji.</w:t>
            </w:r>
          </w:p>
        </w:tc>
      </w:tr>
    </w:tbl>
    <w:p w:rsidR="00C251B4" w:rsidRPr="00C251B4" w:rsidRDefault="00C251B4" w:rsidP="00C251B4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C251B4" w:rsidTr="00C013F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251B4">
            <w:pPr>
              <w:numPr>
                <w:ilvl w:val="1"/>
                <w:numId w:val="3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C251B4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 lekcji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Zaliczenie  praktyczne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C251B4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C251B4" w:rsidRDefault="00C251B4" w:rsidP="00C251B4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C251B4" w:rsidTr="00C251B4">
        <w:trPr>
          <w:cantSplit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C251B4" w:rsidTr="00C251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1B4" w:rsidRDefault="000F7FA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1B4" w:rsidRDefault="000F7FA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0F7FA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0F7FA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0F7FA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0F7FA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70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0F7FA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0F7FA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C251B4" w:rsidRDefault="00C251B4" w:rsidP="00C251B4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b/>
          <w:i/>
          <w:sz w:val="20"/>
          <w:szCs w:val="20"/>
          <w:lang w:val="pl-PL"/>
        </w:rPr>
      </w:pPr>
    </w:p>
    <w:p w:rsidR="00C251B4" w:rsidRDefault="00C251B4" w:rsidP="00C251B4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C251B4" w:rsidRDefault="00C251B4" w:rsidP="00C251B4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C251B4" w:rsidRDefault="00C251B4" w:rsidP="00C251B4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251B4" w:rsidRDefault="00C251B4" w:rsidP="00C251B4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251B4" w:rsidRDefault="00C251B4" w:rsidP="00C251B4">
      <w:pPr>
        <w:rPr>
          <w:rFonts w:ascii="Arial" w:hAnsi="Arial" w:cs="Arial"/>
          <w:color w:val="auto"/>
        </w:rPr>
      </w:pPr>
    </w:p>
    <w:sectPr w:rsidR="00C251B4" w:rsidSect="00C25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DFF"/>
    <w:multiLevelType w:val="multilevel"/>
    <w:tmpl w:val="CC4408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eastAsia="Arial Unicode MS"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Arial Unicode MS" w:hint="default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Arial Unicode MS" w:hint="default"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Arial Unicode MS" w:hint="default"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Arial Unicode MS" w:hint="default"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eastAsia="Arial Unicode MS" w:hint="default"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Arial Unicode MS" w:hint="default"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eastAsia="Arial Unicode MS" w:hint="default"/>
        <w:i w:val="0"/>
        <w:sz w:val="20"/>
      </w:rPr>
    </w:lvl>
  </w:abstractNum>
  <w:abstractNum w:abstractNumId="1">
    <w:nsid w:val="33E817E1"/>
    <w:multiLevelType w:val="multilevel"/>
    <w:tmpl w:val="59DCB3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769463E2"/>
    <w:multiLevelType w:val="multilevel"/>
    <w:tmpl w:val="24A41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B4"/>
    <w:rsid w:val="000F7FA0"/>
    <w:rsid w:val="00AD7EED"/>
    <w:rsid w:val="00C251B4"/>
    <w:rsid w:val="00C810C8"/>
    <w:rsid w:val="00EA3BC4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1B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C251B4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C251B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C251B4"/>
    <w:pPr>
      <w:ind w:left="720"/>
      <w:contextualSpacing/>
    </w:pPr>
  </w:style>
  <w:style w:type="character" w:styleId="Hipercze">
    <w:name w:val="Hyperlink"/>
    <w:semiHidden/>
    <w:rsid w:val="00C251B4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1B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C251B4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C251B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C251B4"/>
    <w:pPr>
      <w:ind w:left="720"/>
      <w:contextualSpacing/>
    </w:pPr>
  </w:style>
  <w:style w:type="character" w:styleId="Hipercze">
    <w:name w:val="Hyperlink"/>
    <w:semiHidden/>
    <w:rsid w:val="00C251B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dutkiewicz@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3</cp:revision>
  <dcterms:created xsi:type="dcterms:W3CDTF">2016-11-07T14:08:00Z</dcterms:created>
  <dcterms:modified xsi:type="dcterms:W3CDTF">2016-11-07T14:09:00Z</dcterms:modified>
</cp:coreProperties>
</file>